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5.png" ContentType="image/png"/>
  <Override PartName="/word/media/rId135.png" ContentType="image/png"/>
  <Override PartName="/word/media/rId181.png" ContentType="image/png"/>
  <Override PartName="/word/media/rId184.png" ContentType="image/png"/>
  <Override PartName="/word/media/rId118.png" ContentType="image/png"/>
  <Override PartName="/word/media/rId121.png" ContentType="image/png"/>
  <Override PartName="/word/media/rId124.png" ContentType="image/png"/>
  <Override PartName="/word/media/rId127.png" ContentType="image/png"/>
  <Override PartName="/word/media/rId86.png" ContentType="image/png"/>
  <Override PartName="/word/media/rId89.png" ContentType="image/png"/>
  <Override PartName="/word/media/rId92.png" ContentType="image/png"/>
  <Override PartName="/word/media/rId95.png" ContentType="image/png"/>
  <Override PartName="/word/media/rId100.png" ContentType="image/png"/>
  <Override PartName="/word/media/rId103.png" ContentType="image/png"/>
  <Override PartName="/word/media/rId106.png" ContentType="image/png"/>
  <Override PartName="/word/media/rId111.png" ContentType="image/png"/>
  <Override PartName="/word/media/rId60.png" ContentType="image/png"/>
  <Override PartName="/word/media/rId63.png" ContentType="image/png"/>
  <Override PartName="/word/media/rId66.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shd w:val="clear" w:color="auto" w:fill="EA5B0C"/>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BLACK"/>
              <w:end w:val="single" w:space="0" w:color="D3D3D3"/>
            </w:tcBorders>
            <w:shd w:val="clear" w:color="auto" w:fill="EA5B0C"/>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+45.76%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+39.82%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-5.95%</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+57.36%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+52.94%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+53.60%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+49.19%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+51.69%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+47.45%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-4.24%</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+44.54%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-3.90%</w:t>
            </w:r>
          </w:p>
        </w:tc>
      </w:tr>
      <w:tr>
        <w:trPr>
          <w:cantSplit/>
        </w:trPr>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start"/>
            </w:pPr>
            <w:r>
              <w:rPr>
                <w:rFonts w:ascii="Calibri" w:hAnsi="Calibri"/>
                <w:sz w:val="20"/>
                <w:color w:val="000000"/>
                <w:b w:val="true"/>
              </w:rPr>
              <w:t xml:space="default">Romania</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+36.70%</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+32.83%</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-3.87%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+44.88%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-3.53%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+54.45%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+46.94%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+43.56%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-2.88%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31" w:name="analiza-ratelor-impozitării"/>
    <w:p>
      <w:pPr>
        <w:pStyle w:val="Heading1"/>
      </w:pPr>
      <w:r>
        <w:t xml:space="preserve">2</w:t>
      </w:r>
      <w:r>
        <w:t xml:space="preserve"> </w:t>
      </w:r>
      <w:r>
        <w:t xml:space="preserve">Analiza ratelor impozitării</w:t>
      </w:r>
    </w:p>
    <w:bookmarkStart w:id="69"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9"/>
    <w:bookmarkStart w:id="99"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1" name="Picture"/>
            <a:graphic>
              <a:graphicData uri="http://schemas.openxmlformats.org/drawingml/2006/picture">
                <pic:pic>
                  <pic:nvPicPr>
                    <pic:cNvPr descr="./ratele_impozitarii_files/figure-docx/unnamed-chunk-5-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98"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5">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87" name="Picture"/>
            <a:graphic>
              <a:graphicData uri="http://schemas.openxmlformats.org/drawingml/2006/picture">
                <pic:pic>
                  <pic:nvPicPr>
                    <pic:cNvPr descr="./ratele_impozitarii_files/figure-docx/unnamed-chunk-10-1.png" id="88" name="Picture"/>
                    <pic:cNvPicPr>
                      <a:picLocks noChangeArrowheads="1" noChangeAspect="1"/>
                    </pic:cNvPicPr>
                  </pic:nvPicPr>
                  <pic:blipFill>
                    <a:blip r:embed="rId86"/>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98"/>
    <w:bookmarkEnd w:id="99"/>
    <w:bookmarkStart w:id="109"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1" name="Picture"/>
            <a:graphic>
              <a:graphicData uri="http://schemas.openxmlformats.org/drawingml/2006/picture">
                <pic:pic>
                  <pic:nvPicPr>
                    <pic:cNvPr descr="./ratele_impozitarii_files/figure-docx/unnamed-chunk-14-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8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09"/>
    <w:bookmarkStart w:id="116"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Întrucât datele sunt limitate am optat pentru un calcul simplu care foloseşte distribuţia veniturilor salariale în categorii pe decile. Doar ILOSTAT furnizează aceste date pentru România la nivel de decilă, Eurostat având ceva similar pentru intervale de 20 %. În acest fel putem estima raportul cu care ar putea creşte încasările la buget din veniturile salariale prin impozitul de venit. Dar oamenii obţin venit şi prin alte mijloace decât un salariu însă acestea sunt datele cu lucrăm. Cel puţin aceste calcule ne permit estimarea unei limite superioare. Valoarea reală va fi cel mai probabil mai mică. De asemenea, asumăm că distribuţia veniturilor nu s-a schimbat semnificativ din 2019 încoace, ultimul an pentru care există datele de pe ILOSTAT, tabelul</w:t>
      </w:r>
      <w:r>
        <w:t xml:space="preserve"> </w:t>
      </w:r>
      <w:r>
        <w:rPr>
          <w:rStyle w:val="VerbatimChar"/>
        </w:rPr>
        <w:t xml:space="preserve">LAP_2LID_QTL_RT_A</w:t>
      </w:r>
      <w:r>
        <w:t xml:space="preserve">.</w:t>
      </w:r>
    </w:p>
    <w:p>
      <w:pPr>
        <w:pStyle w:val="BodyText"/>
      </w:pPr>
      <w:r>
        <w:t xml:space="preserve">Pentru a explora diferite scenarii de impozitare progresivă am creat următoarea</w:t>
      </w:r>
      <w:r>
        <w:t xml:space="preserve"> </w:t>
      </w:r>
      <w:hyperlink r:id="rId110">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 Pragul a fost împrumutat de la Slovacia: pragul la ei este de 38000 EURO brut anual. Ajustat la PIB-ul per capita, la noi ar veni 2200 EURO brut lunar.</w:t>
      </w:r>
    </w:p>
    <w:p>
      <w:pPr>
        <w:pStyle w:val="SourceCode"/>
      </w:pPr>
      <w:r>
        <w:rPr>
          <w:rStyle w:val="VerbatimChar"/>
        </w:rPr>
        <w:t xml:space="preserve">[1] "p67p100" "p68p100" "p69p100" "p91p92" </w:t>
      </w:r>
    </w:p>
    <w:p>
      <w:pPr>
        <w:pStyle w:val="FirstParagraph"/>
      </w:pPr>
      <w:r>
        <w:drawing>
          <wp:inline>
            <wp:extent cx="5334000" cy="5334000"/>
            <wp:effectExtent b="0" l="0" r="0" t="0"/>
            <wp:docPr descr="" title="" id="112" name="Picture"/>
            <a:graphic>
              <a:graphicData uri="http://schemas.openxmlformats.org/drawingml/2006/picture">
                <pic:pic>
                  <pic:nvPicPr>
                    <pic:cNvPr descr="./ratele_impozitarii_files/figure-docx/unnamed-chunk-19-1.png" id="113"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Însă nu propunem şi cotele Slovaciei, ci ceva mai modest: 16 % ( în loc de 19 %) şi 21 % (în loc de 25 %). Impozitul pe venitul din salarii a fost de circa 28 de miliarde de RON în 2021 conform</w:t>
      </w:r>
      <w:r>
        <w:t xml:space="preserve"> </w:t>
      </w:r>
      <w:hyperlink r:id="rId114">
        <w:r>
          <w:rPr>
            <w:rStyle w:val="Hyperlink"/>
          </w:rPr>
          <w:t xml:space="preserve">MF</w:t>
        </w:r>
      </w:hyperlink>
      <w:r>
        <w:t xml:space="preserve">. Asumând impozitul pe venit slovac pe veniturile din salarii s-ar cumula circa 20 de miliarde de RON la buget. Pentru anul 2021. Nu mai ajustăm în jos această sumă deoarece colectările vor fi cu siguranţă semnificativ mai mari în 2023.</w:t>
      </w:r>
    </w:p>
    <w:bookmarkStart w:id="115" w:name="calcul-alternativ-folosind-datele-wid"/>
    <w:p>
      <w:pPr>
        <w:pStyle w:val="Heading3"/>
      </w:pPr>
      <w:r>
        <w:t xml:space="preserve">2.4.1</w:t>
      </w:r>
      <w:r>
        <w:t xml:space="preserve"> </w:t>
      </w:r>
      <w:r>
        <w:t xml:space="preserve">Calcul alternativ folosind datele WID</w:t>
      </w:r>
    </w:p>
    <w:p>
      <w:pPr>
        <w:pStyle w:val="FirstParagraph"/>
      </w:pPr>
      <w:r>
        <w:t xml:space="preserve">Vom calcula sumele colectate ca impozit pe venit folosind distribuţiile la nivel de percentilă ale datelor furnizate de</w:t>
      </w:r>
      <w:r>
        <w:t xml:space="preserve"> </w:t>
      </w:r>
      <w:r>
        <w:rPr>
          <w:rStyle w:val="VerbatimChar"/>
        </w:rPr>
        <w:t xml:space="preserve">World Inequality Database</w:t>
      </w:r>
      <w:r>
        <w:t xml:space="preserve">. Datele WID sunt furnizate până la anul 2021, deci avem avantajul dublu al unei distribuţii mai recente şi mai fine.</w:t>
      </w:r>
    </w:p>
    <w:p>
      <w:pPr>
        <w:pStyle w:val="SourceCode"/>
      </w:pPr>
      <w:r>
        <w:rPr>
          <w:rStyle w:val="VerbatimChar"/>
        </w:rPr>
        <w:t xml:space="preserve">[1] 1.785863</w:t>
      </w:r>
    </w:p>
    <w:p>
      <w:pPr>
        <w:pStyle w:val="FirstParagraph"/>
      </w:pPr>
      <w:r>
        <w:t xml:space="preserve">Obţinem un surplus de 78.6 % foarte similar cu cel calculat pe datele de la ILOSTAT, care dă doar 71.8 %. Vom rămâne însă pe scenariul calculat pe datele ILOSTAT pentru că ne oferă o concluzie mai conservatoare.</w:t>
      </w:r>
    </w:p>
    <w:bookmarkEnd w:id="115"/>
    <w:bookmarkEnd w:id="116"/>
    <w:bookmarkStart w:id="130"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17">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19" name="Picture"/>
            <a:graphic>
              <a:graphicData uri="http://schemas.openxmlformats.org/drawingml/2006/picture">
                <pic:pic>
                  <pic:nvPicPr>
                    <pic:cNvPr descr="./distributional_files/figure-docx/unnamed-chunk-2-1.png" id="12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22" name="Picture"/>
            <a:graphic>
              <a:graphicData uri="http://schemas.openxmlformats.org/drawingml/2006/picture">
                <pic:pic>
                  <pic:nvPicPr>
                    <pic:cNvPr descr="./distributional_files/figure-docx/unnamed-chunk-3-1.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5" name="Picture"/>
            <a:graphic>
              <a:graphicData uri="http://schemas.openxmlformats.org/drawingml/2006/picture">
                <pic:pic>
                  <pic:nvPicPr>
                    <pic:cNvPr descr="./distributional_files/figure-docx/unnamed-chunk-4-1.png" id="126" name="Picture"/>
                    <pic:cNvPicPr>
                      <a:picLocks noChangeArrowheads="1" noChangeAspect="1"/>
                    </pic:cNvPicPr>
                  </pic:nvPicPr>
                  <pic:blipFill>
                    <a:blip r:embed="rId1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28" name="Picture"/>
            <a:graphic>
              <a:graphicData uri="http://schemas.openxmlformats.org/drawingml/2006/picture">
                <pic:pic>
                  <pic:nvPicPr>
                    <pic:cNvPr descr="./distributional_files/figure-docx/unnamed-chunk-5-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30"/>
    <w:bookmarkEnd w:id="131"/>
    <w:bookmarkStart w:id="188" w:name="impozitul-pe-profit-2"/>
    <w:p>
      <w:pPr>
        <w:pStyle w:val="Heading1"/>
      </w:pPr>
      <w:r>
        <w:t xml:space="preserve">3</w:t>
      </w:r>
      <w:r>
        <w:t xml:space="preserve"> </w:t>
      </w:r>
      <w:r>
        <w:t xml:space="preserve">Impozitul pe profit</w:t>
      </w:r>
    </w:p>
    <w:bookmarkStart w:id="134"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32">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3">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4"/>
    <w:bookmarkStart w:id="138" w:name="analize-exploratorii"/>
    <w:p>
      <w:pPr>
        <w:pStyle w:val="Heading2"/>
      </w:pPr>
      <w:r>
        <w:t xml:space="preserve">3.2</w:t>
      </w:r>
      <w:r>
        <w:t xml:space="preserve"> </w:t>
      </w:r>
      <w:r>
        <w:t xml:space="preserve">Analize exploratorii</w:t>
      </w:r>
    </w:p>
    <w:p>
      <w:pPr>
        <w:pStyle w:val="FirstParagraph"/>
      </w:pPr>
      <w:r>
        <w:t xml:space="preserve">Pentru toate firmele din setul de date, suma calculată ca diferenţa dintre profitul brut şi cel net (impozitul plătit) este de</w:t>
      </w:r>
      <w:r>
        <w:t xml:space="preserve"> </w:t>
      </w:r>
      <w:r>
        <w:rPr>
          <w:rStyle w:val="VerbatimChar"/>
        </w:rPr>
        <w:t xml:space="preserve">19.318 miliarde RON</w:t>
      </w:r>
      <w:r>
        <w:t xml:space="preserve">. Similar cu impozitul colectat.</w:t>
      </w:r>
    </w:p>
    <w:p>
      <w:pPr>
        <w:pStyle w:val="BodyText"/>
      </w:pPr>
      <w:r>
        <w:t xml:space="preserve">Pentru firmele cu bilanţ BL_BS_SL suma este de</w:t>
      </w:r>
      <w:r>
        <w:t xml:space="preserve"> </w:t>
      </w:r>
      <w:r>
        <w:rPr>
          <w:rStyle w:val="VerbatimChar"/>
        </w:rPr>
        <w:t xml:space="preserve">14.619 miliarde RON</w:t>
      </w:r>
      <w:r>
        <w:t xml:space="preserve">. Pentru firmele cu bilanţ de tip UU suma este de</w:t>
      </w:r>
      <w:r>
        <w:t xml:space="preserve"> </w:t>
      </w:r>
      <w:r>
        <w:rPr>
          <w:rStyle w:val="VerbatimChar"/>
        </w:rPr>
        <w:t xml:space="preserve">3.032 miliarde RON</w:t>
      </w:r>
      <w:r>
        <w:t xml:space="preserve">. Şi</w:t>
      </w:r>
      <w:r>
        <w:t xml:space="preserve"> </w:t>
      </w:r>
      <w:r>
        <w:rPr>
          <w:rStyle w:val="VerbatimChar"/>
        </w:rPr>
        <w:t xml:space="preserve">1.666 miliarde de RON</w:t>
      </w:r>
      <w:r>
        <w:t xml:space="preserve"> </w:t>
      </w:r>
      <w:r>
        <w:t xml:space="preserve">pentru firmele cu bilanţ de tip IR.</w:t>
      </w:r>
    </w:p>
    <w:p>
      <w:pPr>
        <w:pStyle w:val="BodyText"/>
      </w:pPr>
      <w:r>
        <w:t xml:space="preserve">Suma plătită de firmele cu bilanţ UU este a 5-a parte din cea cu bilanţ de tip BL_BS deşi firmele cu bilanţ UU sunt de 10 ori mai multe. În 2023, firmele fără angajaţi sunt obligate să plătească 16 % din profit indiferent de mărime.</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 Vom calcula acum rata de taxare efectivă prin următoarea formulă:</w:t>
      </w:r>
    </w:p>
    <w:p>
      <w:pPr>
        <w:pStyle w:val="BodyText"/>
      </w:pPr>
      <m:oMathPara>
        <m:oMathParaPr>
          <m:jc m:val="center"/>
        </m:oMathParaPr>
        <m:oMath>
          <m:r>
            <m:t>I</m:t>
          </m:r>
          <m:r>
            <m:t>m</m:t>
          </m:r>
          <m:r>
            <m:t>p</m:t>
          </m:r>
          <m:r>
            <m:t>o</m:t>
          </m:r>
          <m:r>
            <m:t>z</m:t>
          </m:r>
          <m:r>
            <m:t>i</m:t>
          </m:r>
          <m:sSub>
            <m:e>
              <m:r>
                <m:t>t</m:t>
              </m:r>
            </m:e>
            <m:sub>
              <m:r>
                <m:t>e</m:t>
              </m:r>
              <m:r>
                <m:t>f</m:t>
              </m:r>
              <m:r>
                <m:t>e</m:t>
              </m:r>
              <m:r>
                <m:t>c</m:t>
              </m:r>
              <m:r>
                <m:t>t</m:t>
              </m:r>
              <m:r>
                <m:t>i</m:t>
              </m:r>
              <m:r>
                <m:t>v</m:t>
              </m:r>
            </m:sub>
          </m:sSub>
          <m:r>
            <m:rPr>
              <m:sty m:val="p"/>
            </m:rPr>
            <m:t>=</m:t>
          </m:r>
          <m:r>
            <m:t>100</m:t>
          </m:r>
          <m:r>
            <m:rPr>
              <m:sty m:val="p"/>
            </m:rPr>
            <m:t>*</m:t>
          </m:r>
          <m:f>
            <m:fPr>
              <m:type m:val="bar"/>
            </m:fPr>
            <m:num>
              <m:r>
                <m:t>P</m:t>
              </m:r>
              <m:r>
                <m:t>r</m:t>
              </m:r>
              <m:r>
                <m:t>o</m:t>
              </m:r>
              <m:r>
                <m:t>f</m:t>
              </m:r>
              <m:r>
                <m:t>i</m:t>
              </m:r>
              <m:sSub>
                <m:e>
                  <m:r>
                    <m:t>t</m:t>
                  </m:r>
                </m:e>
                <m:sub>
                  <m:r>
                    <m:t>b</m:t>
                  </m:r>
                  <m:r>
                    <m:t>r</m:t>
                  </m:r>
                  <m:r>
                    <m:t>u</m:t>
                  </m:r>
                  <m:r>
                    <m:t>t</m:t>
                  </m:r>
                </m:sub>
              </m:sSub>
              <m:r>
                <m:rPr>
                  <m:sty m:val="p"/>
                </m:rPr>
                <m:t>−</m:t>
              </m:r>
              <m:r>
                <m:t>P</m:t>
              </m:r>
              <m:r>
                <m:t>r</m:t>
              </m:r>
              <m:r>
                <m:t>o</m:t>
              </m:r>
              <m:r>
                <m:t>f</m:t>
              </m:r>
              <m:r>
                <m:t>i</m:t>
              </m:r>
              <m:sSub>
                <m:e>
                  <m:r>
                    <m:t>t</m:t>
                  </m:r>
                </m:e>
                <m:sub>
                  <m:r>
                    <m:t>n</m:t>
                  </m:r>
                  <m:r>
                    <m:t>e</m:t>
                  </m:r>
                  <m:r>
                    <m:t>t</m:t>
                  </m:r>
                </m:sub>
              </m:sSub>
            </m:num>
            <m:den>
              <m:r>
                <m:t>P</m:t>
              </m:r>
              <m:r>
                <m:t>r</m:t>
              </m:r>
              <m:r>
                <m:t>o</m:t>
              </m:r>
              <m:r>
                <m:t>f</m:t>
              </m:r>
              <m:r>
                <m:t>i</m:t>
              </m:r>
              <m:sSub>
                <m:e>
                  <m:r>
                    <m:t>t</m:t>
                  </m:r>
                </m:e>
                <m:sub>
                  <m:r>
                    <m:t>b</m:t>
                  </m:r>
                  <m:r>
                    <m:t>r</m:t>
                  </m:r>
                  <m:r>
                    <m:t>u</m:t>
                  </m:r>
                  <m:r>
                    <m:t>t</m:t>
                  </m:r>
                </m:sub>
              </m:sSub>
            </m:den>
          </m:f>
        </m:oMath>
      </m:oMathPara>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Rata de taxare efectivă în 2021</w:t>
      </w:r>
    </w:p>
    <w:p>
      <w:pPr>
        <w:spacing w:before="0" w:after="60"/>
        <w:keepNext/>
        <w:jc w:val="start"/>
        <w:pStyle w:val="caption"/>
      </w:pPr>
      <w:r>
        <w:rPr>
          <w:rFonts w:ascii="Calibri" w:hAnsi="Calibri"/>
          <w:sz w:val="20"/>
          <w:color w:val="FFFFFF"/>
        </w:rPr>
        <w:t xml:space="default">Sursa: situaţiile financiare de pe data.gov.ro</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categorie</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ratio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bl_bs_sl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r>
    </w:tbl>
    <w:p>
      <w:pPr>
        <w:pStyle w:val="FirstParagraph"/>
      </w:pPr>
      <w:r>
        <w:t xml:space="preserve">Regimul de impozitare pe cifra de afaceri este cu siguranţă avantajos per total.</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36" name="Picture"/>
            <a:graphic>
              <a:graphicData uri="http://schemas.openxmlformats.org/drawingml/2006/picture">
                <pic:pic>
                  <pic:nvPicPr>
                    <pic:cNvPr descr="./Impozit_profit_files/figure-docx/unnamed-chunk-3-1.png" id="137" name="Picture"/>
                    <pic:cNvPicPr>
                      <a:picLocks noChangeArrowheads="1" noChangeAspect="1"/>
                    </pic:cNvPicPr>
                  </pic:nvPicPr>
                  <pic:blipFill>
                    <a:blip r:embed="rId135"/>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S-ar obţine cu 202 % mai mulţi bani ! Circa 6.9 miliarde RON dacă toate ar plăti impozit pe profit de 16 % ! Dacă pragul ar coborî din nou la 500.000 EURO (aproximativ 2.5 milioane RON) s-ar obţine circa 4.77 miliarde RON de la această categorie de firme în loc de 3 miliarde acum. Un surplus important. Pentru un prag de 250.000 EURO (aproximativ 1.25 milioane RON) s-ar obţine circa 5.95 miliarde. Cu circa 2.9 miliarde RON în plus. Vom asuma 2.5 miliarde RON ca să ne luăm o marjă de eroare. Aceste estimate trebuie privite cu suspiciune din cauza faptului că firmele nu iau decizii statice, ci sunt influenţate de oportunităţile existente sau create.</w:t>
      </w:r>
    </w:p>
    <w:bookmarkEnd w:id="138"/>
    <w:bookmarkStart w:id="141"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39">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40">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41"/>
    <w:bookmarkStart w:id="153"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42"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32">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42"/>
    <w:bookmarkStart w:id="143"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3"/>
    <w:bookmarkStart w:id="144"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4"/>
    <w:bookmarkStart w:id="148"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46" name="Picture"/>
            <a:graphic>
              <a:graphicData uri="http://schemas.openxmlformats.org/drawingml/2006/picture">
                <pic:pic>
                  <pic:nvPicPr>
                    <pic:cNvPr descr="./Impozit_profit_files/figure-docx/unnamed-chunk-11-1.png" id="147" name="Picture"/>
                    <pic:cNvPicPr>
                      <a:picLocks noChangeArrowheads="1" noChangeAspect="1"/>
                    </pic:cNvPicPr>
                  </pic:nvPicPr>
                  <pic:blipFill>
                    <a:blip r:embed="rId145"/>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48"/>
    <w:bookmarkStart w:id="149"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49"/>
    <w:bookmarkStart w:id="150"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50"/>
    <w:bookmarkStart w:id="151"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51"/>
    <w:bookmarkStart w:id="152"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VALOARE</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14.67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52"/>
    <w:bookmarkEnd w:id="153"/>
    <w:bookmarkStart w:id="173"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4">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56" name="Picture"/>
            <a:graphic>
              <a:graphicData uri="http://schemas.openxmlformats.org/drawingml/2006/picture">
                <pic:pic>
                  <pic:nvPicPr>
                    <pic:cNvPr descr="./tipuri_taxe_files/figure-docx/unnamed-chunk-4-1.png" id="157" name="Picture"/>
                    <pic:cNvPicPr>
                      <a:picLocks noChangeArrowheads="1" noChangeAspect="1"/>
                    </pic:cNvPicPr>
                  </pic:nvPicPr>
                  <pic:blipFill>
                    <a:blip r:embed="rId155"/>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59" name="Picture"/>
            <a:graphic>
              <a:graphicData uri="http://schemas.openxmlformats.org/drawingml/2006/picture">
                <pic:pic>
                  <pic:nvPicPr>
                    <pic:cNvPr descr="./tipuri_taxe_files/figure-docx/unnamed-chunk-5-1.png" id="160" name="Picture"/>
                    <pic:cNvPicPr>
                      <a:picLocks noChangeArrowheads="1" noChangeAspect="1"/>
                    </pic:cNvPicPr>
                  </pic:nvPicPr>
                  <pic:blipFill>
                    <a:blip r:embed="rId15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62" name="Picture"/>
            <a:graphic>
              <a:graphicData uri="http://schemas.openxmlformats.org/drawingml/2006/picture">
                <pic:pic>
                  <pic:nvPicPr>
                    <pic:cNvPr descr="./tipuri_taxe_files/figure-docx/unnamed-chunk-6-1.png" id="163" name="Picture"/>
                    <pic:cNvPicPr>
                      <a:picLocks noChangeArrowheads="1" noChangeAspect="1"/>
                    </pic:cNvPicPr>
                  </pic:nvPicPr>
                  <pic:blipFill>
                    <a:blip r:embed="rId16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5" name="Picture"/>
            <a:graphic>
              <a:graphicData uri="http://schemas.openxmlformats.org/drawingml/2006/picture">
                <pic:pic>
                  <pic:nvPicPr>
                    <pic:cNvPr descr="./tipuri_taxe_files/figure-docx/unnamed-chunk-7-1.png" id="166" name="Picture"/>
                    <pic:cNvPicPr>
                      <a:picLocks noChangeArrowheads="1" noChangeAspect="1"/>
                    </pic:cNvPicPr>
                  </pic:nvPicPr>
                  <pic:blipFill>
                    <a:blip r:embed="rId164"/>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68" name="Picture"/>
            <a:graphic>
              <a:graphicData uri="http://schemas.openxmlformats.org/drawingml/2006/picture">
                <pic:pic>
                  <pic:nvPicPr>
                    <pic:cNvPr descr="./tipuri_taxe_files/figure-docx/unnamed-chunk-8-1.png" id="169" name="Picture"/>
                    <pic:cNvPicPr>
                      <a:picLocks noChangeArrowheads="1" noChangeAspect="1"/>
                    </pic:cNvPicPr>
                  </pic:nvPicPr>
                  <pic:blipFill>
                    <a:blip r:embed="rId16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71" name="Picture"/>
            <a:graphic>
              <a:graphicData uri="http://schemas.openxmlformats.org/drawingml/2006/picture">
                <pic:pic>
                  <pic:nvPicPr>
                    <pic:cNvPr descr="./tipuri_taxe_files/figure-docx/unnamed-chunk-9-1.png" id="172"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România - % din PIB pentru diferite taxe</w:t>
      </w:r>
    </w:p>
    <w:p>
      <w:pPr>
        <w:spacing w:before="0" w:after="60"/>
        <w:keepNext/>
        <w:jc w:val="start"/>
        <w:pStyle w:val="caption"/>
      </w:pPr>
      <w:r>
        <w:rPr>
          <w:rFonts w:ascii="Calibri" w:hAnsi="Calibri"/>
          <w:sz w:val="20"/>
          <w:color w:val="FFFFFF"/>
        </w:rPr>
        <w:t xml:space="default">Sursa: Taxation Trends in European Union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EA5B0C"/>
          </w:tcPr>
          <w:p>
            <w:pPr>
              <w:spacing w:before="0" w:after="60"/>
              <w:keepNext/>
              <w:jc w:val="end"/>
            </w:pPr>
            <w:r>
              <w:rPr>
                <w:rFonts w:ascii="Calibri" w:hAnsi="Calibri"/>
                <w:sz w:val="20"/>
                <w:color w:val="FFFFFF"/>
              </w:rPr>
              <w:t xml:space="default">capital</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contributii</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munca</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consum</w:t>
            </w:r>
          </w:p>
        </w:tc>
        <w:tc>
          <w:tcPr>
            <w:tcBorders>
              <w:top w:val="single" w:sz="16" w:space="0" w:color="D3D3D3"/>
              <w:bottom w:val="single" w:sz="16" w:space="0" w:color="BLACK"/>
              <w:end w:val="single" w:space="0" w:color="D3D3D3"/>
            </w:tcBorders>
            <w:shd w:val="clear" w:color="auto" w:fill="EA5B0C"/>
          </w:tcPr>
          <w:p>
            <w:pPr>
              <w:spacing w:before="0" w:after="60"/>
              <w:keepNext/>
              <w:jc w:val="end"/>
            </w:pPr>
            <w:r>
              <w:rPr>
                <w:rFonts w:ascii="Calibri" w:hAnsi="Calibri"/>
                <w:sz w:val="20"/>
                <w:color w:val="FFFFFF"/>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0.63</w:t>
            </w:r>
          </w:p>
        </w:tc>
      </w:tr>
    </w:tbl>
    <w:bookmarkEnd w:id="173"/>
    <w:bookmarkStart w:id="178"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4">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Dar trebuie luat în seamă că există deja o taxă de 3 %. Deci am strânge un surplus de 350 milioane RON în realitate. Suma nu e foarte mare dar nu e neglijabilă. Mai jos avem numărul de tranzacţii per judeţe.</w:t>
      </w:r>
    </w:p>
    <w:p>
      <w:pPr>
        <w:pStyle w:val="BodyText"/>
      </w:pPr>
      <w:r>
        <w:drawing>
          <wp:inline>
            <wp:extent cx="5334000" cy="5334000"/>
            <wp:effectExtent b="0" l="0" r="0" t="0"/>
            <wp:docPr descr="" title="" id="176" name="Picture"/>
            <a:graphic>
              <a:graphicData uri="http://schemas.openxmlformats.org/drawingml/2006/picture">
                <pic:pic>
                  <pic:nvPicPr>
                    <pic:cNvPr descr="./tranzactii_imobiliare_files/figure-docx/unnamed-chunk-1-1.png" id="177" name="Picture"/>
                    <pic:cNvPicPr>
                      <a:picLocks noChangeArrowheads="1" noChangeAspect="1"/>
                    </pic:cNvPicPr>
                  </pic:nvPicPr>
                  <pic:blipFill>
                    <a:blip r:embed="rId175"/>
                    <a:stretch>
                      <a:fillRect/>
                    </a:stretch>
                  </pic:blipFill>
                  <pic:spPr bwMode="auto">
                    <a:xfrm>
                      <a:off x="0" y="0"/>
                      <a:ext cx="5334000" cy="5334000"/>
                    </a:xfrm>
                    <a:prstGeom prst="rect">
                      <a:avLst/>
                    </a:prstGeom>
                    <a:noFill/>
                    <a:ln w="9525">
                      <a:noFill/>
                      <a:headEnd/>
                      <a:tailEnd/>
                    </a:ln>
                  </pic:spPr>
                </pic:pic>
              </a:graphicData>
            </a:graphic>
          </wp:inline>
        </w:drawing>
      </w:r>
    </w:p>
    <w:bookmarkEnd w:id="178"/>
    <w:bookmarkStart w:id="179"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79"/>
    <w:bookmarkStart w:id="180"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8,665,810,464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433,290,523</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80"/>
    <w:bookmarkStart w:id="187"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Impact</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tcPr>
          <w:p>
            <w:pPr>
              <w:spacing w:before="0" w:after="60"/>
              <w:keepNext/>
              <w:jc w:val="end"/>
            </w:pPr>
            <w:r>
              <w:rPr>
                <w:vertAlign w:val="superscript"/>
                <w:i/>
                <w:rFonts w:ascii="Calibri" w:hAnsi="Calibri"/>
                <w:sz w:val="20"/>
              </w:rPr>
              <w:t xml:space="default">1</w:t>
            </w: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9.53</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ENERGIE</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JOCURI DE NOROC</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RETAIL</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TRANZACŢII IMOBILIARE</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5.49</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Coborâre prag microîntreprinderi</w:t>
            </w:r>
            <w:r>
              <w:rPr>
                <w:vertAlign w:val="superscript"/>
                <w:i/>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28.50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b w:val="true"/>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b w:val="true"/>
              </w:rPr>
              <w:t xml:space="default">43.52</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Mai probabilă este estimarea MF de 0.9 miliarde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10 % taxă pe tranzacţiile imobiliare</w:t>
            </w:r>
          </w:p>
        </w:tc>
      </w:tr>
      <w:tr>
        <w:trPr>
          <w:cantSplit/>
        </w:trPr>
        <w:tc>
          <w:tcPr>
            <w:gridSpan w:val="2"/>
          </w:tcPr>
          <w:p>
            <w:pPr>
              <w:spacing w:before="0" w:after="60"/>
              <w:keepNext/>
            </w:pPr>
            <w:r>
              <w:rPr>
                <w:vertAlign w:val="superscript"/>
                <w:i/>
                <w:rFonts w:ascii="Calibri" w:hAnsi="Calibri"/>
                <w:sz w:val="20"/>
              </w:rPr>
              <w:t xml:space="default">6</w:t>
            </w:r>
            <w:r>
              <w:rPr>
                <w:rFonts w:ascii="Calibri" w:hAnsi="Calibri"/>
                <w:sz w:val="20"/>
              </w:rPr>
              <w:t xml:space="default">Asumând cote de 16 % şi 21 % pentru ce trece de 2200 EURO lunar brut (scenariul slovac)</w:t>
            </w:r>
          </w:p>
        </w:tc>
      </w:tr>
      <w:tr>
        <w:trPr>
          <w:cantSplit/>
        </w:trPr>
        <w:tc>
          <w:tcPr>
            <w:gridSpan w:val="2"/>
          </w:tcPr>
          <w:p>
            <w:pPr>
              <w:spacing w:before="0" w:after="60"/>
              <w:keepNext/>
            </w:pPr>
            <w:r>
              <w:rPr>
                <w:vertAlign w:val="superscript"/>
                <w:i/>
                <w:rFonts w:ascii="Calibri" w:hAnsi="Calibri"/>
                <w:sz w:val="20"/>
              </w:rPr>
              <w:t xml:space="default">7</w:t>
            </w:r>
            <w:r>
              <w:rPr>
                <w:rFonts w:ascii="Calibri" w:hAnsi="Calibri"/>
                <w:sz w:val="20"/>
              </w:rPr>
              <w:t xml:space="default">Impozit pe dividende de 18 %</w:t>
            </w:r>
          </w:p>
        </w:tc>
      </w:tr>
      <w:tr>
        <w:trPr>
          <w:cantSplit/>
        </w:trPr>
        <w:tc>
          <w:tcPr>
            <w:gridSpan w:val="2"/>
          </w:tcPr>
          <w:p>
            <w:pPr>
              <w:spacing w:before="0" w:after="60"/>
              <w:keepNext/>
            </w:pPr>
            <w:r>
              <w:rPr>
                <w:vertAlign w:val="superscript"/>
                <w:i/>
                <w:rFonts w:ascii="Calibri" w:hAnsi="Calibri"/>
                <w:sz w:val="20"/>
              </w:rPr>
              <w:t xml:space="default">8</w:t>
            </w:r>
            <w:r>
              <w:rPr>
                <w:rFonts w:ascii="Calibri" w:hAnsi="Calibri"/>
                <w:sz w:val="20"/>
              </w:rPr>
              <w:t xml:space="default">Scăderea pragului de venit al microîntreprinderii la 250.000 EURO</w:t>
            </w:r>
          </w:p>
        </w:tc>
      </w:tr>
    </w:tbl>
    <w:p>
      <w:pPr>
        <w:pStyle w:val="FirstParagraph"/>
      </w:pPr>
      <w:r>
        <w:t xml:space="preserve">Şi acum sub formă de pie chart.</w:t>
      </w:r>
    </w:p>
    <w:p>
      <w:pPr>
        <w:pStyle w:val="BodyText"/>
      </w:pPr>
      <w:r>
        <w:drawing>
          <wp:inline>
            <wp:extent cx="5334000" cy="5334000"/>
            <wp:effectExtent b="0" l="0" r="0" t="0"/>
            <wp:docPr descr="" title="" id="182" name="Picture"/>
            <a:graphic>
              <a:graphicData uri="http://schemas.openxmlformats.org/drawingml/2006/picture">
                <pic:pic>
                  <pic:nvPicPr>
                    <pic:cNvPr descr="./calcule_finale_files/figure-docx/unnamed-chunk-3-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5" name="Picture"/>
            <a:graphic>
              <a:graphicData uri="http://schemas.openxmlformats.org/drawingml/2006/picture">
                <pic:pic>
                  <pic:nvPicPr>
                    <pic:cNvPr descr="./calcule_finale_files/figure-docx/unnamed-chunk-4-1.png" id="186" name="Picture"/>
                    <pic:cNvPicPr>
                      <a:picLocks noChangeArrowheads="1" noChangeAspect="1"/>
                    </pic:cNvPicPr>
                  </pic:nvPicPr>
                  <pic:blipFill>
                    <a:blip r:embed="rId184"/>
                    <a:stretch>
                      <a:fillRect/>
                    </a:stretch>
                  </pic:blipFill>
                  <pic:spPr bwMode="auto">
                    <a:xfrm>
                      <a:off x="0" y="0"/>
                      <a:ext cx="5334000" cy="5334000"/>
                    </a:xfrm>
                    <a:prstGeom prst="rect">
                      <a:avLst/>
                    </a:prstGeom>
                    <a:noFill/>
                    <a:ln w="9525">
                      <a:noFill/>
                      <a:headEnd/>
                      <a:tailEnd/>
                    </a:ln>
                  </pic:spPr>
                </pic:pic>
              </a:graphicData>
            </a:graphic>
          </wp:inline>
        </w:drawing>
      </w:r>
    </w:p>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2" Target="https://data.gov.ro/dataset/situatii_financiare_2021" TargetMode="External" /><Relationship Type="http://schemas.openxmlformats.org/officeDocument/2006/relationships/hyperlink" Id="rId174" Target="https://economedia.ro/analiza-imobiliara-piata-locuintelor-in-2022-an-marcat-de-incertitudini-fluctuatii-in-tranzactii-cresteri-de-preturi-dar-si-corectii.html" TargetMode="External" /><Relationship Type="http://schemas.openxmlformats.org/officeDocument/2006/relationships/hyperlink" Id="rId133" Target="https://mfinante.gov.ro/documents/35673/162114/Anexa2_bgc31dec2021.pdf" TargetMode="External" /><Relationship Type="http://schemas.openxmlformats.org/officeDocument/2006/relationships/hyperlink" Id="rId114" Target="https://mfinante.gov.ro/documents/35673/162114/nota_bgc31dec2021.pdf" TargetMode="External" /><Relationship Type="http://schemas.openxmlformats.org/officeDocument/2006/relationships/hyperlink" Id="rId140"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4" Target="https://taxation-customs.ec.europa.eu/taxation-1/economic-analysis-taxation/data-taxation-trends_en" TargetMode="External" /><Relationship Type="http://schemas.openxmlformats.org/officeDocument/2006/relationships/hyperlink" Id="rId117" Target="https://wid.world/data/" TargetMode="External" /><Relationship Type="http://schemas.openxmlformats.org/officeDocument/2006/relationships/hyperlink" Id="rId139"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2" Target="https://data.gov.ro/dataset/situatii_financiare_2021" TargetMode="External" /><Relationship Type="http://schemas.openxmlformats.org/officeDocument/2006/relationships/hyperlink" Id="rId174" Target="https://economedia.ro/analiza-imobiliara-piata-locuintelor-in-2022-an-marcat-de-incertitudini-fluctuatii-in-tranzactii-cresteri-de-preturi-dar-si-corectii.html" TargetMode="External" /><Relationship Type="http://schemas.openxmlformats.org/officeDocument/2006/relationships/hyperlink" Id="rId133" Target="https://mfinante.gov.ro/documents/35673/162114/Anexa2_bgc31dec2021.pdf" TargetMode="External" /><Relationship Type="http://schemas.openxmlformats.org/officeDocument/2006/relationships/hyperlink" Id="rId114" Target="https://mfinante.gov.ro/documents/35673/162114/nota_bgc31dec2021.pdf" TargetMode="External" /><Relationship Type="http://schemas.openxmlformats.org/officeDocument/2006/relationships/hyperlink" Id="rId140"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4" Target="https://taxation-customs.ec.europa.eu/taxation-1/economic-analysis-taxation/data-taxation-trends_en" TargetMode="External" /><Relationship Type="http://schemas.openxmlformats.org/officeDocument/2006/relationships/hyperlink" Id="rId117" Target="https://wid.world/data/" TargetMode="External" /><Relationship Type="http://schemas.openxmlformats.org/officeDocument/2006/relationships/hyperlink" Id="rId139"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2023-06-03T16:41:58Z</dcterms:created>
  <dcterms:modified xsi:type="dcterms:W3CDTF">2023-06-03T16:41:58Z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